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DECCE">
      <w:pPr>
        <w:spacing w:line="560" w:lineRule="exact"/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36"/>
          <w:szCs w:val="36"/>
        </w:rPr>
        <w:t>关于征集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赣州中学教研活动室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项目采购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方案的公告</w:t>
      </w:r>
      <w:bookmarkEnd w:id="0"/>
    </w:p>
    <w:p w14:paraId="59DF868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B1AD18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为加强政府采购需求管理，实现政府采购项目绩效目标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根据《中华人民共和国政府采购法》和《中华人民共和国政府采购法实施条例》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政府采购需求管理办法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经项目组研究决定，拟面向市场主体开展需求调查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特向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具备供货能力的供应商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征集采购需求方案。现将有关事项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公告如下。</w:t>
      </w:r>
    </w:p>
    <w:p w14:paraId="4927BFD3"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及预算</w:t>
      </w:r>
    </w:p>
    <w:p w14:paraId="21DB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赣州中学教研活动室项目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预算金额为49.5万元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4C65230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二、采购方式</w:t>
      </w:r>
    </w:p>
    <w:p w14:paraId="666A54EF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拟采用竞争性磋商的方式进行自主采购，如有设备属集中采购目录，该部分设备执行集中采购。</w:t>
      </w:r>
    </w:p>
    <w:p w14:paraId="6475B69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三、基本需求</w:t>
      </w:r>
    </w:p>
    <w:p w14:paraId="2A6F920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1.活动室概况</w:t>
      </w:r>
    </w:p>
    <w:p w14:paraId="23B1762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原教研活动时位于办公楼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三楼306，面积约132平方米，呈六边形，简单装修，无会议系统和音响设备，只有一台多媒体一体机并联网。</w:t>
      </w:r>
    </w:p>
    <w:p w14:paraId="3030D614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2.改造需求</w:t>
      </w:r>
    </w:p>
    <w:p w14:paraId="660F1350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装修部分。拆除原有地面、风扇、空调、灯、门等；重新铺设地面，吊顶，室内空间需要考虑声学改造，墙面四周做吸音隔音处理（预留通气窗户），重新安装入室门，重新安装灯光、空调及电源等。合理规划空间，所有装修及材料符合国家消防及环保要求，墙面要预留能后期悬挂相关党建、教学宣传板位置。</w:t>
      </w:r>
    </w:p>
    <w:p w14:paraId="0BB0DF4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（2）桌、椅、柜。合理定制40位以上的桌、椅，其中保证两个主位及以上，配备茶水柜。可根据空间设计设备控制室。</w:t>
      </w:r>
    </w:p>
    <w:p w14:paraId="2ACAE65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（3）显示系统。安装LED显示屏，并提供远程控制可移动终端，配备交互式一体机及移动支架，并根据不同设计配备相关通信线路连接。</w:t>
      </w:r>
    </w:p>
    <w:p w14:paraId="14582A7C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（4）会议、扩声系统。配备会议、扩声系统相关设备，话筒数量不少于20个；配备电子桌牌系统；会议、扩声系统要支持远程会议和远程教研。</w:t>
      </w:r>
    </w:p>
    <w:p w14:paraId="7CDF6BEA">
      <w:pPr>
        <w:pStyle w:val="3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（5）所有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功能、展示效果、辅材及人工费用需较明晰的体现在方案内。</w:t>
      </w:r>
    </w:p>
    <w:bookmarkEnd w:id="1"/>
    <w:p w14:paraId="025C3978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本项目不提供图纸，现场勘查自行画图。为不影响学校正常教学，现场勘查定于2024年11月27日下午两点开始集中勘查，其他时间不予接待，请谅解。</w:t>
      </w:r>
    </w:p>
    <w:p w14:paraId="5CC3611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编制要求</w:t>
      </w:r>
    </w:p>
    <w:p w14:paraId="009D7CDB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1.总体要求</w:t>
      </w:r>
    </w:p>
    <w:p w14:paraId="0D4C9135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充分发挥公司的技术与服务优势，在核拨的预算额度内，编制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参考格式详见附件），其中供应商的资格条件、采购项目需求（技术与服务参数、商务条款、评分办法等）应当具体、明确，方案应切实可行，并符合政府采购法律法规和政策，不得设定有倾向性、排他性的资格、技术、服务、商务条件，降低廉政风险和社会风险，努力实现本项目采购“物有所值”的目标。</w:t>
      </w:r>
    </w:p>
    <w:p w14:paraId="5A088348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2.制作要求</w:t>
      </w:r>
    </w:p>
    <w:p w14:paraId="063BBBE1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电子文档用WORD制作，文件名为：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赣州中学教研活动室改造项目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。纸质方案用A4纸打印胶装一式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封面统一用蓝色，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不要落款公司名称，不应盖公司公章，不得有其它透露公司信息、影响方案评审的标记，否则作无效方案处理。</w:t>
      </w:r>
    </w:p>
    <w:p w14:paraId="06AF66D1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3.其它要求</w:t>
      </w:r>
    </w:p>
    <w:p w14:paraId="6127D25C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》格式仅供参考，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各参与公司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可对其进行修改、补充、完善和优化，但方案的采购金额不能超出预算。也可以对本项目采购提出意见和建议，并在“其它说明”一栏中进行阐述。</w:t>
      </w:r>
    </w:p>
    <w:p w14:paraId="219B6CF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五、封装及递交要求</w:t>
      </w:r>
    </w:p>
    <w:p w14:paraId="29B5409F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与电子文档一致的纸质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份（用文件袋密封加盖密封章），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应在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时前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，快递或送交至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赣州中学总务处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，方案没有密封、逾期递交或一家公司递交多个方案，均作弃权处理。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的电子文档，也应在方案递交截止时间前发送到以下电子邮箱，并及时与我方联系人沟通确认。</w:t>
      </w:r>
    </w:p>
    <w:p w14:paraId="75D5F92B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钟老师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，联系电话：0797-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8109356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gzzxkyc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@163.com</w:t>
      </w:r>
    </w:p>
    <w:p w14:paraId="0CAED49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六、方案评审说明</w:t>
      </w:r>
    </w:p>
    <w:p w14:paraId="63DB581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1.我方将择时聘请专家对各家递交的有效方案进行评审，从中评审出最符合政府采购法律法规和政策且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我方采购需求的方案，并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以此方案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为蓝本，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并吸纳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其它方案的优势亮点，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作为编制采购需求、采购计划和采购文件的主要依据。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公司的方案没有被采纳，敬请谅解，欢迎下次参与。</w:t>
      </w:r>
    </w:p>
    <w:p w14:paraId="269A4530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2.我方将积极递交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、参与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采购活动的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优质诚信供货的公司，列入面向市场主体开展需求调查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的重点对象。对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干扰方案评审或在政府采购中有违法、违纪及不诚信供货等行为，我方将其列入黑名单，情节严重的将送交政府采购监管部门或监察委处理。</w:t>
      </w:r>
    </w:p>
    <w:p w14:paraId="6BD566E8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采购需求方案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确定后，我方将按法定程序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编制采购文件，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届时欢迎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各参与公司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积极参与项目招标工作。</w:t>
      </w:r>
    </w:p>
    <w:p w14:paraId="33A6796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特此公告 </w:t>
      </w:r>
    </w:p>
    <w:p w14:paraId="0D87669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赣州中学教研活动室改造项目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方案参考格式</w:t>
      </w:r>
    </w:p>
    <w:p w14:paraId="42C91981">
      <w:pPr>
        <w:pStyle w:val="3"/>
        <w:widowControl w:val="0"/>
        <w:numPr>
          <w:ilvl w:val="0"/>
          <w:numId w:val="0"/>
        </w:numPr>
        <w:jc w:val="both"/>
      </w:pPr>
    </w:p>
    <w:p w14:paraId="7E1D3A26">
      <w:pPr>
        <w:pStyle w:val="3"/>
        <w:widowControl w:val="0"/>
        <w:numPr>
          <w:ilvl w:val="0"/>
          <w:numId w:val="0"/>
        </w:numPr>
        <w:jc w:val="both"/>
      </w:pPr>
    </w:p>
    <w:p w14:paraId="49ACCFB5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赣州中学</w:t>
      </w:r>
    </w:p>
    <w:p w14:paraId="17F8ED02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6422CFF3">
      <w:r>
        <w:br w:type="page"/>
      </w:r>
    </w:p>
    <w:p w14:paraId="53D44BBB">
      <w:pPr>
        <w:pStyle w:val="8"/>
        <w:spacing w:after="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</w:t>
      </w:r>
    </w:p>
    <w:p w14:paraId="3776804F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赣州中学教研活动室改造项目采购方案</w:t>
      </w:r>
    </w:p>
    <w:p w14:paraId="0AA8D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（参考格式）</w:t>
      </w:r>
    </w:p>
    <w:p w14:paraId="54C1C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6C781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一、项目名称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赣州中学教研活动室改造项目</w:t>
      </w:r>
    </w:p>
    <w:p w14:paraId="0E7A1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竞争性磋商</w:t>
      </w:r>
    </w:p>
    <w:p w14:paraId="67896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三、采购内容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</w:p>
    <w:tbl>
      <w:tblPr>
        <w:tblStyle w:val="23"/>
        <w:tblW w:w="9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265"/>
        <w:gridCol w:w="660"/>
        <w:gridCol w:w="615"/>
        <w:gridCol w:w="2463"/>
        <w:gridCol w:w="1230"/>
        <w:gridCol w:w="1230"/>
      </w:tblGrid>
      <w:tr w14:paraId="5D0F0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品名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AA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B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6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A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1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D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限价</w:t>
            </w:r>
          </w:p>
          <w:p w14:paraId="4A6FE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元）</w:t>
            </w:r>
          </w:p>
        </w:tc>
      </w:tr>
      <w:tr w14:paraId="4A1BF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FC7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EF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赣州中学教研活动室改造项目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D15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FF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4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详见采购项目需求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4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49.5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F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49.5</w:t>
            </w:r>
          </w:p>
        </w:tc>
      </w:tr>
    </w:tbl>
    <w:p w14:paraId="48DEF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四、投标人应具备的基本资质条件</w:t>
      </w:r>
    </w:p>
    <w:p w14:paraId="2AB70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（1）具有独立承担民事责任的能力；</w:t>
      </w:r>
    </w:p>
    <w:p w14:paraId="57190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（2）具有良好的商业信誉和健全的财务会计制度；</w:t>
      </w:r>
    </w:p>
    <w:p w14:paraId="7C91F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（3）具有履行合同所必需的设备和专业技术能力；</w:t>
      </w:r>
    </w:p>
    <w:p w14:paraId="11507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（4）有依法缴纳税收和社会保障资金的良好记录；</w:t>
      </w:r>
    </w:p>
    <w:p w14:paraId="1C42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（5）参加政府采购活动前三年内，在经营活动中没有重大违法记录；</w:t>
      </w:r>
    </w:p>
    <w:p w14:paraId="111CD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6）投标供应商被“信用中国”网站列入失信被执行人或重大税收违法案件当事人名单的、被“中国政府采购网”网站列入政府采购严重违法失信行为记录名单的（处罚期限尚未届满），不得参与本项目的政府采购活动。</w:t>
      </w:r>
    </w:p>
    <w:p w14:paraId="39D7E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（7）特定资格：无</w:t>
      </w:r>
    </w:p>
    <w:p w14:paraId="379B28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、采购项目需求</w:t>
      </w:r>
    </w:p>
    <w:p w14:paraId="740F5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1.活动室概况</w:t>
      </w:r>
    </w:p>
    <w:p w14:paraId="21830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原教研活动时位于行政楼三楼306，面积约132平方米，呈六边形，简单装修，无会议系统和音响设备，只有一台多媒体一体机并联网。</w:t>
      </w:r>
    </w:p>
    <w:p w14:paraId="42D1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2.改造需求</w:t>
      </w:r>
    </w:p>
    <w:p w14:paraId="2EB21D85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装修部分。拆除原有地面、风扇、空调、灯、门等；重新铺设地面，吊顶，室内空间需要考虑声学改造，墙面四周做吸音隔音处理（预留通气窗户），重新安装入室门，重新安装灯光、空调及电源等。合理规划空间，所有装修及材料符合国家消防及环保要求，墙面要预留能后期悬挂相关党建、教学宣传板位置。</w:t>
      </w:r>
    </w:p>
    <w:p w14:paraId="7BFC9AA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（2）桌、椅、柜。合理定制40位以上的桌、椅，其中保证两个主位及以上，配备茶水柜。可根据空间设计设备控制室。</w:t>
      </w:r>
    </w:p>
    <w:p w14:paraId="30A5058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（3）显示系统。安装LED显示屏，并提供远程控制可移动终端，配备交互式一体机及移动支架，并根据不同设计配备相关通信线路连接。</w:t>
      </w:r>
    </w:p>
    <w:p w14:paraId="289E769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（4）会议、扩声系统。配备会议、扩声系统相关设备，话筒数量不少于20个；配备电子桌牌系统；会议、扩声系统要支持远程会议和远程教研。</w:t>
      </w:r>
    </w:p>
    <w:p w14:paraId="70772D71">
      <w:pPr>
        <w:pStyle w:val="3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（5）所有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功能、展示效果、辅材及人工费用需较明晰的体现在方案内。</w:t>
      </w:r>
    </w:p>
    <w:p w14:paraId="784FDF93"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以上需求，提交方案方需结合图纸与公开勘测结果自行核算工程量，按品目提供产品与方案（包含设计图纸），所有涉及的配套设备和辅材均由提交方案方自行测算、融合，最终方案需满足我校实施项目改造后业务正常开展。</w:t>
      </w:r>
    </w:p>
    <w:p w14:paraId="66145F0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具体详见采购清单：</w:t>
      </w:r>
    </w:p>
    <w:p w14:paraId="32DF30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val="en-US" w:eastAsia="zh-CN"/>
        </w:rPr>
        <w:t>（以下内容请供应商补充，必须包含教研活动室改造参数）</w:t>
      </w:r>
    </w:p>
    <w:tbl>
      <w:tblPr>
        <w:tblStyle w:val="23"/>
        <w:tblW w:w="87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1470"/>
        <w:gridCol w:w="3885"/>
        <w:gridCol w:w="945"/>
        <w:gridCol w:w="915"/>
        <w:gridCol w:w="900"/>
      </w:tblGrid>
      <w:tr w14:paraId="56804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7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B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货物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名称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1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主要技术与参数要求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0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D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5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单价</w:t>
            </w:r>
          </w:p>
        </w:tc>
      </w:tr>
      <w:tr w14:paraId="1D678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A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0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8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F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2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9A37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A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C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7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0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7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3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6883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2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D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B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2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2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B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956E8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E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B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7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0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F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DCF7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7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总价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A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4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D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9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BA7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方案设计图纸如下：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val="en-US" w:eastAsia="zh-CN"/>
        </w:rPr>
        <w:t>（以下内容请供应商补充）</w:t>
      </w:r>
    </w:p>
    <w:p w14:paraId="52FB09B4">
      <w:pPr>
        <w:pStyle w:val="2"/>
        <w:rPr>
          <w:rFonts w:hint="default"/>
          <w:lang w:val="en-US" w:eastAsia="zh-CN"/>
        </w:rPr>
      </w:pPr>
    </w:p>
    <w:p w14:paraId="42C92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六、商务条款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val="en-US" w:eastAsia="zh-CN"/>
        </w:rPr>
        <w:t>（以下内容请供应商补充）</w:t>
      </w:r>
    </w:p>
    <w:p w14:paraId="73766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地点：</w:t>
      </w:r>
    </w:p>
    <w:p w14:paraId="65CF4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（二）履行期限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1917FB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（三）付款方式：</w:t>
      </w:r>
    </w:p>
    <w:p w14:paraId="416E2F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（四）项目实施及人员要求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4421B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（五）验收方式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67966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（六）售后服务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72B6562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知识产权要求：</w:t>
      </w:r>
    </w:p>
    <w:p w14:paraId="5B31C79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人员培训：</w:t>
      </w:r>
    </w:p>
    <w:p w14:paraId="1D171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（九）其他要求：</w:t>
      </w:r>
    </w:p>
    <w:p w14:paraId="23D1A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注：以上商务条款为必须满足项，否则作无效标处理。</w:t>
      </w:r>
    </w:p>
    <w:p w14:paraId="4E9A4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、评分办法：</w:t>
      </w:r>
    </w:p>
    <w:p w14:paraId="13996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1、评标委员会将按照规定,仅对确定为实质上响应招标文件要求的投标文件进行评价和比较。 </w:t>
      </w:r>
    </w:p>
    <w:p w14:paraId="67B31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2、评标方法：综合评分法。 </w:t>
      </w:r>
    </w:p>
    <w:p w14:paraId="4340B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3、在投标人的投标文件最大限度地满足招标文件实质性要求的前提下，评标委员会根据综合评分法原则进行评分，由价格分权值X%、技术评议分权值 Y%，商务评议分权值Z%组成，满分为 100 分。具体内容详见下表：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023"/>
      </w:tblGrid>
      <w:tr w14:paraId="3A4C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A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价格分</w:t>
            </w:r>
          </w:p>
          <w:p w14:paraId="088A6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X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分)</w:t>
            </w:r>
          </w:p>
        </w:tc>
        <w:tc>
          <w:tcPr>
            <w:tcW w:w="8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6E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价格分采用低价优先法计算，即满足招标文件要求且投标价格最低的投标报价为评标基准价，其价格分为满分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分。其他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投标供应商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的价格分统一按下列公式计算：</w:t>
            </w:r>
          </w:p>
          <w:p w14:paraId="4AC6F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投标报价得分=（评标基准价/投标报价）×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%×100。</w:t>
            </w:r>
          </w:p>
          <w:p w14:paraId="3E266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响应供应商的报价超过最高限价的，将不评分并作无效响应处理。</w:t>
            </w:r>
          </w:p>
        </w:tc>
      </w:tr>
      <w:tr w14:paraId="5824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5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与服务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分</w:t>
            </w:r>
          </w:p>
          <w:p w14:paraId="40F4A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Y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8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62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一、</w:t>
            </w:r>
          </w:p>
          <w:p w14:paraId="0C9E0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二、</w:t>
            </w:r>
          </w:p>
          <w:p w14:paraId="2DE27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160"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三、</w:t>
            </w:r>
          </w:p>
        </w:tc>
      </w:tr>
      <w:tr w14:paraId="4AF1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5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  <w:t>商务分</w:t>
            </w:r>
          </w:p>
          <w:p w14:paraId="573F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Z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8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一、</w:t>
            </w:r>
          </w:p>
          <w:p w14:paraId="36FF5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二、</w:t>
            </w:r>
          </w:p>
          <w:p w14:paraId="32B58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454B2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备注：</w:t>
      </w:r>
    </w:p>
    <w:p w14:paraId="51233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1、突破单位采购最高限价的将不评分并作无效响应处理，评分标准中评分因素所涉及的有关资料，投标供应商须在投标文件中提供，否则视为不具备该项得分的条件。</w:t>
      </w:r>
    </w:p>
    <w:p w14:paraId="2DA48C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2、</w:t>
      </w:r>
    </w:p>
    <w:p w14:paraId="3C278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、其它说明：</w:t>
      </w:r>
    </w:p>
    <w:p w14:paraId="2608352D">
      <w:pPr>
        <w:pStyle w:val="3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A11E108-83EA-4BC4-AF83-E33EDB40B4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D0278F4-97D5-4DDB-A92C-BE3F8A0339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660910-3931-4FD6-B01A-9F20459E44F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4" w:fontKey="{141060B1-725D-46DD-AF49-34B62ABD7A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5919504-9805-4BBA-857D-58BE645ACF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EA022">
    <w:pPr>
      <w:pStyle w:val="9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4</w:t>
    </w:r>
    <w:r>
      <w:fldChar w:fldCharType="end"/>
    </w:r>
  </w:p>
  <w:p w14:paraId="0B76B59C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7DAF9">
    <w:pPr>
      <w:pStyle w:val="9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28</w:t>
    </w:r>
    <w:r>
      <w:fldChar w:fldCharType="end"/>
    </w:r>
  </w:p>
  <w:p w14:paraId="761C3DBF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36E9B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65AB0">
    <w:pPr>
      <w:pStyle w:val="1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44689"/>
    <w:multiLevelType w:val="singleLevel"/>
    <w:tmpl w:val="91C44689"/>
    <w:lvl w:ilvl="0" w:tentative="0">
      <w:start w:val="7"/>
      <w:numFmt w:val="chineseCounting"/>
      <w:suff w:val="nothing"/>
      <w:lvlText w:val="（%1）"/>
      <w:lvlJc w:val="left"/>
      <w:pPr>
        <w:ind w:left="728" w:firstLine="0"/>
      </w:pPr>
      <w:rPr>
        <w:rFonts w:hint="eastAsia"/>
      </w:rPr>
    </w:lvl>
  </w:abstractNum>
  <w:abstractNum w:abstractNumId="1">
    <w:nsid w:val="FB730D8F"/>
    <w:multiLevelType w:val="singleLevel"/>
    <w:tmpl w:val="FB730D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821274"/>
    <w:multiLevelType w:val="multilevel"/>
    <w:tmpl w:val="34821274"/>
    <w:lvl w:ilvl="0" w:tentative="0">
      <w:start w:val="1"/>
      <w:numFmt w:val="japaneseCounting"/>
      <w:pStyle w:val="4"/>
      <w:lvlText w:val="（%1）"/>
      <w:lvlJc w:val="left"/>
      <w:pPr>
        <w:ind w:left="810" w:hanging="810"/>
      </w:pPr>
      <w:rPr>
        <w:rFonts w:hint="default"/>
      </w:rPr>
    </w:lvl>
    <w:lvl w:ilvl="1" w:tentative="0">
      <w:start w:val="1"/>
      <w:numFmt w:val="lowerLetter"/>
      <w:pStyle w:val="5"/>
      <w:lvlText w:val="%2)"/>
      <w:lvlJc w:val="left"/>
      <w:pPr>
        <w:ind w:left="840" w:hanging="420"/>
      </w:pPr>
    </w:lvl>
    <w:lvl w:ilvl="2" w:tentative="0">
      <w:start w:val="1"/>
      <w:numFmt w:val="lowerRoman"/>
      <w:pStyle w:val="6"/>
      <w:lvlText w:val="%3."/>
      <w:lvlJc w:val="right"/>
      <w:pPr>
        <w:ind w:left="1260" w:hanging="420"/>
      </w:pPr>
    </w:lvl>
    <w:lvl w:ilvl="3" w:tentative="0">
      <w:start w:val="1"/>
      <w:numFmt w:val="decimal"/>
      <w:pStyle w:val="10"/>
      <w:lvlText w:val="%4."/>
      <w:lvlJc w:val="left"/>
      <w:pPr>
        <w:ind w:left="1680" w:hanging="420"/>
      </w:pPr>
    </w:lvl>
    <w:lvl w:ilvl="4" w:tentative="0">
      <w:start w:val="1"/>
      <w:numFmt w:val="lowerLetter"/>
      <w:pStyle w:val="11"/>
      <w:lvlText w:val="%5)"/>
      <w:lvlJc w:val="left"/>
      <w:pPr>
        <w:ind w:left="2100" w:hanging="420"/>
      </w:pPr>
    </w:lvl>
    <w:lvl w:ilvl="5" w:tentative="0">
      <w:start w:val="1"/>
      <w:numFmt w:val="lowerRoman"/>
      <w:pStyle w:val="12"/>
      <w:lvlText w:val="%6."/>
      <w:lvlJc w:val="right"/>
      <w:pPr>
        <w:ind w:left="2520" w:hanging="420"/>
      </w:pPr>
    </w:lvl>
    <w:lvl w:ilvl="6" w:tentative="0">
      <w:start w:val="1"/>
      <w:numFmt w:val="decimal"/>
      <w:pStyle w:val="13"/>
      <w:lvlText w:val="%7."/>
      <w:lvlJc w:val="left"/>
      <w:pPr>
        <w:ind w:left="2940" w:hanging="420"/>
      </w:pPr>
    </w:lvl>
    <w:lvl w:ilvl="7" w:tentative="0">
      <w:start w:val="1"/>
      <w:numFmt w:val="lowerLetter"/>
      <w:pStyle w:val="14"/>
      <w:lvlText w:val="%8)"/>
      <w:lvlJc w:val="left"/>
      <w:pPr>
        <w:ind w:left="3360" w:hanging="420"/>
      </w:pPr>
    </w:lvl>
    <w:lvl w:ilvl="8" w:tentative="0">
      <w:start w:val="1"/>
      <w:numFmt w:val="lowerRoman"/>
      <w:pStyle w:val="15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zI3YThiOWExNGY2NjBlZGQyZjU5OTRkOGEyYWUifQ=="/>
  </w:docVars>
  <w:rsids>
    <w:rsidRoot w:val="008F1B13"/>
    <w:rsid w:val="00001995"/>
    <w:rsid w:val="00003A50"/>
    <w:rsid w:val="000150A4"/>
    <w:rsid w:val="0003332B"/>
    <w:rsid w:val="000413E0"/>
    <w:rsid w:val="00080FD3"/>
    <w:rsid w:val="000A29FF"/>
    <w:rsid w:val="000C31B1"/>
    <w:rsid w:val="000D067A"/>
    <w:rsid w:val="000D30E8"/>
    <w:rsid w:val="000D59E6"/>
    <w:rsid w:val="000D65D2"/>
    <w:rsid w:val="000D73CF"/>
    <w:rsid w:val="000F7F00"/>
    <w:rsid w:val="00103EFE"/>
    <w:rsid w:val="0011626C"/>
    <w:rsid w:val="00117D6D"/>
    <w:rsid w:val="0012596B"/>
    <w:rsid w:val="00140173"/>
    <w:rsid w:val="00142E4B"/>
    <w:rsid w:val="00151D07"/>
    <w:rsid w:val="00154028"/>
    <w:rsid w:val="001604B5"/>
    <w:rsid w:val="00160AFC"/>
    <w:rsid w:val="0019295A"/>
    <w:rsid w:val="00194145"/>
    <w:rsid w:val="001C1823"/>
    <w:rsid w:val="001C4608"/>
    <w:rsid w:val="001C75C1"/>
    <w:rsid w:val="001D2F56"/>
    <w:rsid w:val="001E4AB2"/>
    <w:rsid w:val="001E4D23"/>
    <w:rsid w:val="001F5EC4"/>
    <w:rsid w:val="0020239C"/>
    <w:rsid w:val="00207623"/>
    <w:rsid w:val="002268C2"/>
    <w:rsid w:val="002407BE"/>
    <w:rsid w:val="00245401"/>
    <w:rsid w:val="00250402"/>
    <w:rsid w:val="00254725"/>
    <w:rsid w:val="00274776"/>
    <w:rsid w:val="0028128F"/>
    <w:rsid w:val="00295C05"/>
    <w:rsid w:val="002A2B44"/>
    <w:rsid w:val="002B02B0"/>
    <w:rsid w:val="002D4902"/>
    <w:rsid w:val="002E041C"/>
    <w:rsid w:val="002E6B47"/>
    <w:rsid w:val="002F0916"/>
    <w:rsid w:val="00305B40"/>
    <w:rsid w:val="00307FCE"/>
    <w:rsid w:val="00310526"/>
    <w:rsid w:val="0031128E"/>
    <w:rsid w:val="00347793"/>
    <w:rsid w:val="00347912"/>
    <w:rsid w:val="003653EC"/>
    <w:rsid w:val="00367283"/>
    <w:rsid w:val="00376EDE"/>
    <w:rsid w:val="00381D10"/>
    <w:rsid w:val="00382875"/>
    <w:rsid w:val="0038325B"/>
    <w:rsid w:val="0038786F"/>
    <w:rsid w:val="003A31F1"/>
    <w:rsid w:val="003B20A0"/>
    <w:rsid w:val="003B52D1"/>
    <w:rsid w:val="003D1680"/>
    <w:rsid w:val="003D19CF"/>
    <w:rsid w:val="003E3D60"/>
    <w:rsid w:val="003E3DA4"/>
    <w:rsid w:val="003E4E59"/>
    <w:rsid w:val="00403E84"/>
    <w:rsid w:val="0040554B"/>
    <w:rsid w:val="00425DDC"/>
    <w:rsid w:val="0042762C"/>
    <w:rsid w:val="00441F95"/>
    <w:rsid w:val="00445765"/>
    <w:rsid w:val="004471FE"/>
    <w:rsid w:val="004745BA"/>
    <w:rsid w:val="004774F7"/>
    <w:rsid w:val="00486162"/>
    <w:rsid w:val="004868DE"/>
    <w:rsid w:val="00490AB2"/>
    <w:rsid w:val="004A616F"/>
    <w:rsid w:val="004B2A4B"/>
    <w:rsid w:val="004B72FB"/>
    <w:rsid w:val="004B7851"/>
    <w:rsid w:val="004C202E"/>
    <w:rsid w:val="004C2B38"/>
    <w:rsid w:val="004D041F"/>
    <w:rsid w:val="004E683E"/>
    <w:rsid w:val="00501CC9"/>
    <w:rsid w:val="005028B7"/>
    <w:rsid w:val="00543940"/>
    <w:rsid w:val="00551F57"/>
    <w:rsid w:val="00553F1B"/>
    <w:rsid w:val="0057200B"/>
    <w:rsid w:val="00587485"/>
    <w:rsid w:val="005A0914"/>
    <w:rsid w:val="005A21E3"/>
    <w:rsid w:val="005D1157"/>
    <w:rsid w:val="005E0F5C"/>
    <w:rsid w:val="005F42F3"/>
    <w:rsid w:val="005F48DC"/>
    <w:rsid w:val="005F54C1"/>
    <w:rsid w:val="00607BC0"/>
    <w:rsid w:val="0061013A"/>
    <w:rsid w:val="0061623E"/>
    <w:rsid w:val="00626DEB"/>
    <w:rsid w:val="00633559"/>
    <w:rsid w:val="006508F9"/>
    <w:rsid w:val="006539A1"/>
    <w:rsid w:val="006627F7"/>
    <w:rsid w:val="00662D69"/>
    <w:rsid w:val="00665681"/>
    <w:rsid w:val="006A1D6D"/>
    <w:rsid w:val="006A4F84"/>
    <w:rsid w:val="006B39CA"/>
    <w:rsid w:val="006C4702"/>
    <w:rsid w:val="006D79BD"/>
    <w:rsid w:val="006E4B8F"/>
    <w:rsid w:val="00721495"/>
    <w:rsid w:val="00731CC3"/>
    <w:rsid w:val="007602CF"/>
    <w:rsid w:val="007670E2"/>
    <w:rsid w:val="00785D2E"/>
    <w:rsid w:val="00792CA9"/>
    <w:rsid w:val="007A014C"/>
    <w:rsid w:val="007B3D84"/>
    <w:rsid w:val="007D4F90"/>
    <w:rsid w:val="007E0939"/>
    <w:rsid w:val="007E1D91"/>
    <w:rsid w:val="007E4307"/>
    <w:rsid w:val="007E6B04"/>
    <w:rsid w:val="008109E5"/>
    <w:rsid w:val="00814007"/>
    <w:rsid w:val="00836D06"/>
    <w:rsid w:val="0085422B"/>
    <w:rsid w:val="00856921"/>
    <w:rsid w:val="00857062"/>
    <w:rsid w:val="0086203C"/>
    <w:rsid w:val="008621A9"/>
    <w:rsid w:val="00866A02"/>
    <w:rsid w:val="008708C2"/>
    <w:rsid w:val="00880EC2"/>
    <w:rsid w:val="00887234"/>
    <w:rsid w:val="00887D08"/>
    <w:rsid w:val="00893518"/>
    <w:rsid w:val="008B45DA"/>
    <w:rsid w:val="008B55C6"/>
    <w:rsid w:val="008D35B7"/>
    <w:rsid w:val="008E410B"/>
    <w:rsid w:val="008F05FF"/>
    <w:rsid w:val="008F1B13"/>
    <w:rsid w:val="008F3C4C"/>
    <w:rsid w:val="008F70BD"/>
    <w:rsid w:val="008F70BE"/>
    <w:rsid w:val="008F787E"/>
    <w:rsid w:val="0090427A"/>
    <w:rsid w:val="00904694"/>
    <w:rsid w:val="009071E5"/>
    <w:rsid w:val="00907579"/>
    <w:rsid w:val="00913CBA"/>
    <w:rsid w:val="00917F18"/>
    <w:rsid w:val="00924920"/>
    <w:rsid w:val="00941D91"/>
    <w:rsid w:val="009549B5"/>
    <w:rsid w:val="00965BFF"/>
    <w:rsid w:val="00975285"/>
    <w:rsid w:val="009A7878"/>
    <w:rsid w:val="009B18C2"/>
    <w:rsid w:val="009B5C51"/>
    <w:rsid w:val="009B6879"/>
    <w:rsid w:val="009B7C33"/>
    <w:rsid w:val="009C3025"/>
    <w:rsid w:val="009D4D68"/>
    <w:rsid w:val="009D5ECB"/>
    <w:rsid w:val="009E0FE0"/>
    <w:rsid w:val="00A04BFC"/>
    <w:rsid w:val="00A10816"/>
    <w:rsid w:val="00A3500F"/>
    <w:rsid w:val="00A8646C"/>
    <w:rsid w:val="00A94833"/>
    <w:rsid w:val="00AA6A31"/>
    <w:rsid w:val="00AC2DAE"/>
    <w:rsid w:val="00AF33FF"/>
    <w:rsid w:val="00B0488E"/>
    <w:rsid w:val="00B06610"/>
    <w:rsid w:val="00B10484"/>
    <w:rsid w:val="00B14C22"/>
    <w:rsid w:val="00B34CCD"/>
    <w:rsid w:val="00B350E1"/>
    <w:rsid w:val="00B41EF6"/>
    <w:rsid w:val="00B5637B"/>
    <w:rsid w:val="00B62352"/>
    <w:rsid w:val="00B62CC4"/>
    <w:rsid w:val="00B710D0"/>
    <w:rsid w:val="00B71A10"/>
    <w:rsid w:val="00B7201C"/>
    <w:rsid w:val="00BA2763"/>
    <w:rsid w:val="00BA3800"/>
    <w:rsid w:val="00BA5CD4"/>
    <w:rsid w:val="00BC332A"/>
    <w:rsid w:val="00BD42B3"/>
    <w:rsid w:val="00C06F78"/>
    <w:rsid w:val="00C21A15"/>
    <w:rsid w:val="00C34CA9"/>
    <w:rsid w:val="00C435FD"/>
    <w:rsid w:val="00C470E3"/>
    <w:rsid w:val="00C56882"/>
    <w:rsid w:val="00C56DBB"/>
    <w:rsid w:val="00C73E20"/>
    <w:rsid w:val="00C80911"/>
    <w:rsid w:val="00C80D55"/>
    <w:rsid w:val="00C939DC"/>
    <w:rsid w:val="00CA7CE9"/>
    <w:rsid w:val="00CB2464"/>
    <w:rsid w:val="00CB79D7"/>
    <w:rsid w:val="00CD6474"/>
    <w:rsid w:val="00CD7EC0"/>
    <w:rsid w:val="00CE49DF"/>
    <w:rsid w:val="00CF1227"/>
    <w:rsid w:val="00D00E50"/>
    <w:rsid w:val="00D070BB"/>
    <w:rsid w:val="00D2134B"/>
    <w:rsid w:val="00D8353F"/>
    <w:rsid w:val="00D9402A"/>
    <w:rsid w:val="00D94152"/>
    <w:rsid w:val="00DA66CC"/>
    <w:rsid w:val="00DB43DC"/>
    <w:rsid w:val="00DB6D3B"/>
    <w:rsid w:val="00DB7F6C"/>
    <w:rsid w:val="00DC071B"/>
    <w:rsid w:val="00DC3CC3"/>
    <w:rsid w:val="00DD3204"/>
    <w:rsid w:val="00DD596E"/>
    <w:rsid w:val="00E0530E"/>
    <w:rsid w:val="00E14894"/>
    <w:rsid w:val="00E43761"/>
    <w:rsid w:val="00E731A4"/>
    <w:rsid w:val="00E922AC"/>
    <w:rsid w:val="00EB7E8F"/>
    <w:rsid w:val="00ED0E70"/>
    <w:rsid w:val="00ED14C1"/>
    <w:rsid w:val="00EE093F"/>
    <w:rsid w:val="00EE57F4"/>
    <w:rsid w:val="00EE716B"/>
    <w:rsid w:val="00F23B9C"/>
    <w:rsid w:val="00F33B44"/>
    <w:rsid w:val="00F40F1A"/>
    <w:rsid w:val="00F44087"/>
    <w:rsid w:val="00F455F1"/>
    <w:rsid w:val="00F61588"/>
    <w:rsid w:val="00F65723"/>
    <w:rsid w:val="00F6786B"/>
    <w:rsid w:val="00F729DA"/>
    <w:rsid w:val="00F72B72"/>
    <w:rsid w:val="00FD5D73"/>
    <w:rsid w:val="00FD6B07"/>
    <w:rsid w:val="00FD7BE2"/>
    <w:rsid w:val="00FE3BC5"/>
    <w:rsid w:val="00FE70E9"/>
    <w:rsid w:val="00FF1F64"/>
    <w:rsid w:val="00FF48A6"/>
    <w:rsid w:val="03EF60A0"/>
    <w:rsid w:val="042C7219"/>
    <w:rsid w:val="046313D7"/>
    <w:rsid w:val="08FD2387"/>
    <w:rsid w:val="0CB47F37"/>
    <w:rsid w:val="0E4778A1"/>
    <w:rsid w:val="0FFA1E6E"/>
    <w:rsid w:val="1122202E"/>
    <w:rsid w:val="112453F4"/>
    <w:rsid w:val="123A7B49"/>
    <w:rsid w:val="13A520F1"/>
    <w:rsid w:val="142A393A"/>
    <w:rsid w:val="146F2338"/>
    <w:rsid w:val="153B6965"/>
    <w:rsid w:val="187B28F3"/>
    <w:rsid w:val="1B36658F"/>
    <w:rsid w:val="1CBD34DC"/>
    <w:rsid w:val="1CD57194"/>
    <w:rsid w:val="1D4330A6"/>
    <w:rsid w:val="1DDC5AED"/>
    <w:rsid w:val="20F72A74"/>
    <w:rsid w:val="21BE4F04"/>
    <w:rsid w:val="24587DF1"/>
    <w:rsid w:val="251C506F"/>
    <w:rsid w:val="25904E02"/>
    <w:rsid w:val="2AEB73E7"/>
    <w:rsid w:val="2BD909BE"/>
    <w:rsid w:val="2DAF48AE"/>
    <w:rsid w:val="2EBD433B"/>
    <w:rsid w:val="2F1468B3"/>
    <w:rsid w:val="2F547DFC"/>
    <w:rsid w:val="311A3CC6"/>
    <w:rsid w:val="31327CC7"/>
    <w:rsid w:val="32D701A3"/>
    <w:rsid w:val="339C4E66"/>
    <w:rsid w:val="364B6C81"/>
    <w:rsid w:val="376A1B82"/>
    <w:rsid w:val="3DF05316"/>
    <w:rsid w:val="3E5F2AF3"/>
    <w:rsid w:val="40DC745F"/>
    <w:rsid w:val="41377466"/>
    <w:rsid w:val="4146462E"/>
    <w:rsid w:val="421922FE"/>
    <w:rsid w:val="45B147A1"/>
    <w:rsid w:val="472856A3"/>
    <w:rsid w:val="48C05F64"/>
    <w:rsid w:val="490D332C"/>
    <w:rsid w:val="4AF56FD4"/>
    <w:rsid w:val="4C812213"/>
    <w:rsid w:val="4DC555CB"/>
    <w:rsid w:val="50C466DA"/>
    <w:rsid w:val="518C00B6"/>
    <w:rsid w:val="53D671AE"/>
    <w:rsid w:val="548D636D"/>
    <w:rsid w:val="55A90FF1"/>
    <w:rsid w:val="56D865CB"/>
    <w:rsid w:val="577437AE"/>
    <w:rsid w:val="5B056661"/>
    <w:rsid w:val="5C232184"/>
    <w:rsid w:val="5D72282A"/>
    <w:rsid w:val="5E391380"/>
    <w:rsid w:val="5E5F2D66"/>
    <w:rsid w:val="5E8359D9"/>
    <w:rsid w:val="5FDE75B3"/>
    <w:rsid w:val="60363C96"/>
    <w:rsid w:val="61730155"/>
    <w:rsid w:val="628F0DB5"/>
    <w:rsid w:val="6923628D"/>
    <w:rsid w:val="69A939C4"/>
    <w:rsid w:val="6CB61D42"/>
    <w:rsid w:val="6CDC08A3"/>
    <w:rsid w:val="6D397C4E"/>
    <w:rsid w:val="6EBB3E6A"/>
    <w:rsid w:val="6F5168F9"/>
    <w:rsid w:val="74791767"/>
    <w:rsid w:val="747B2FA9"/>
    <w:rsid w:val="7D9B33DC"/>
    <w:rsid w:val="7E707E16"/>
    <w:rsid w:val="7F3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0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1"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6">
    <w:name w:val="heading 3"/>
    <w:basedOn w:val="1"/>
    <w:next w:val="7"/>
    <w:link w:val="32"/>
    <w:qFormat/>
    <w:uiPriority w:val="0"/>
    <w:pPr>
      <w:keepNext/>
      <w:keepLines/>
      <w:numPr>
        <w:ilvl w:val="2"/>
        <w:numId w:val="1"/>
      </w:numPr>
      <w:tabs>
        <w:tab w:val="left" w:pos="1260"/>
      </w:tabs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heading 4"/>
    <w:basedOn w:val="1"/>
    <w:next w:val="1"/>
    <w:link w:val="33"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11">
    <w:name w:val="heading 5"/>
    <w:basedOn w:val="1"/>
    <w:next w:val="1"/>
    <w:link w:val="34"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12">
    <w:name w:val="heading 6"/>
    <w:basedOn w:val="1"/>
    <w:next w:val="1"/>
    <w:link w:val="35"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13">
    <w:name w:val="heading 7"/>
    <w:basedOn w:val="1"/>
    <w:next w:val="1"/>
    <w:link w:val="36"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14">
    <w:name w:val="heading 8"/>
    <w:basedOn w:val="1"/>
    <w:next w:val="1"/>
    <w:link w:val="37"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5">
    <w:name w:val="heading 9"/>
    <w:basedOn w:val="1"/>
    <w:next w:val="1"/>
    <w:link w:val="38"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01" w:firstLineChars="179"/>
    </w:pPr>
    <w:rPr>
      <w:sz w:val="2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/>
    </w:rPr>
  </w:style>
  <w:style w:type="paragraph" w:styleId="7">
    <w:name w:val="Body Text First Indent"/>
    <w:basedOn w:val="8"/>
    <w:qFormat/>
    <w:uiPriority w:val="0"/>
    <w:pPr>
      <w:adjustRightInd w:val="0"/>
      <w:spacing w:before="30" w:beforeLines="30"/>
      <w:ind w:firstLine="200" w:firstLineChars="200"/>
    </w:pPr>
    <w:rPr>
      <w:szCs w:val="20"/>
      <w:lang w:val="zh-CN"/>
    </w:rPr>
  </w:style>
  <w:style w:type="paragraph" w:styleId="8">
    <w:name w:val="Body Text"/>
    <w:basedOn w:val="1"/>
    <w:next w:val="9"/>
    <w:link w:val="43"/>
    <w:qFormat/>
    <w:uiPriority w:val="0"/>
    <w:pPr>
      <w:spacing w:after="120"/>
    </w:pPr>
    <w:rPr>
      <w:szCs w:val="24"/>
    </w:rPr>
  </w:style>
  <w:style w:type="paragraph" w:styleId="9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annotation text"/>
    <w:basedOn w:val="1"/>
    <w:link w:val="54"/>
    <w:unhideWhenUsed/>
    <w:qFormat/>
    <w:uiPriority w:val="99"/>
    <w:pPr>
      <w:jc w:val="left"/>
    </w:pPr>
  </w:style>
  <w:style w:type="paragraph" w:styleId="17">
    <w:name w:val="Date"/>
    <w:basedOn w:val="1"/>
    <w:next w:val="1"/>
    <w:link w:val="40"/>
    <w:unhideWhenUsed/>
    <w:qFormat/>
    <w:uiPriority w:val="0"/>
    <w:pPr>
      <w:ind w:left="100" w:leftChars="2500"/>
    </w:pPr>
  </w:style>
  <w:style w:type="paragraph" w:styleId="18">
    <w:name w:val="Balloon Text"/>
    <w:basedOn w:val="1"/>
    <w:link w:val="47"/>
    <w:unhideWhenUsed/>
    <w:qFormat/>
    <w:uiPriority w:val="0"/>
    <w:rPr>
      <w:sz w:val="18"/>
      <w:szCs w:val="18"/>
    </w:rPr>
  </w:style>
  <w:style w:type="paragraph" w:styleId="19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HTML Preformatted"/>
    <w:basedOn w:val="1"/>
    <w:link w:val="4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annotation subject"/>
    <w:basedOn w:val="16"/>
    <w:next w:val="16"/>
    <w:link w:val="53"/>
    <w:unhideWhenUsed/>
    <w:qFormat/>
    <w:uiPriority w:val="99"/>
    <w:rPr>
      <w:rFonts w:ascii="Times New Roman" w:hAnsi="Times New Roman"/>
      <w:b/>
      <w:bCs/>
      <w:szCs w:val="24"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page number"/>
    <w:basedOn w:val="25"/>
    <w:qFormat/>
    <w:uiPriority w:val="0"/>
  </w:style>
  <w:style w:type="character" w:styleId="27">
    <w:name w:val="FollowedHyperlink"/>
    <w:basedOn w:val="25"/>
    <w:semiHidden/>
    <w:unhideWhenUsed/>
    <w:qFormat/>
    <w:uiPriority w:val="99"/>
    <w:rPr>
      <w:color w:val="954F72"/>
      <w:u w:val="single"/>
    </w:rPr>
  </w:style>
  <w:style w:type="character" w:styleId="28">
    <w:name w:val="Hyperlink"/>
    <w:qFormat/>
    <w:uiPriority w:val="99"/>
    <w:rPr>
      <w:color w:val="136EC2"/>
      <w:u w:val="single"/>
    </w:rPr>
  </w:style>
  <w:style w:type="character" w:styleId="29">
    <w:name w:val="annotation reference"/>
    <w:unhideWhenUsed/>
    <w:qFormat/>
    <w:uiPriority w:val="99"/>
    <w:rPr>
      <w:sz w:val="21"/>
      <w:szCs w:val="21"/>
    </w:rPr>
  </w:style>
  <w:style w:type="character" w:customStyle="1" w:styleId="30">
    <w:name w:val="标题 1 Char"/>
    <w:basedOn w:val="25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标题 2 Char"/>
    <w:basedOn w:val="25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2">
    <w:name w:val="标题 3 Char"/>
    <w:basedOn w:val="25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3">
    <w:name w:val="标题 4 Char"/>
    <w:basedOn w:val="25"/>
    <w:link w:val="10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4">
    <w:name w:val="标题 5 Char"/>
    <w:basedOn w:val="25"/>
    <w:link w:val="11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5">
    <w:name w:val="标题 6 Char"/>
    <w:basedOn w:val="25"/>
    <w:link w:val="12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6">
    <w:name w:val="标题 7 Char"/>
    <w:basedOn w:val="25"/>
    <w:link w:val="13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7">
    <w:name w:val="标题 8 Char"/>
    <w:basedOn w:val="25"/>
    <w:link w:val="14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8">
    <w:name w:val="标题 9 Char"/>
    <w:basedOn w:val="25"/>
    <w:link w:val="15"/>
    <w:qFormat/>
    <w:uiPriority w:val="0"/>
    <w:rPr>
      <w:rFonts w:ascii="Arial" w:hAnsi="Arial" w:eastAsia="黑体" w:cs="Times New Roman"/>
      <w:szCs w:val="21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日期 Char"/>
    <w:basedOn w:val="25"/>
    <w:link w:val="17"/>
    <w:qFormat/>
    <w:uiPriority w:val="0"/>
  </w:style>
  <w:style w:type="character" w:customStyle="1" w:styleId="41">
    <w:name w:val="页脚 Char"/>
    <w:link w:val="9"/>
    <w:qFormat/>
    <w:uiPriority w:val="99"/>
    <w:rPr>
      <w:sz w:val="18"/>
      <w:szCs w:val="18"/>
    </w:rPr>
  </w:style>
  <w:style w:type="character" w:customStyle="1" w:styleId="42">
    <w:name w:val="页眉 Char"/>
    <w:link w:val="19"/>
    <w:qFormat/>
    <w:uiPriority w:val="99"/>
    <w:rPr>
      <w:sz w:val="18"/>
      <w:szCs w:val="18"/>
    </w:rPr>
  </w:style>
  <w:style w:type="character" w:customStyle="1" w:styleId="43">
    <w:name w:val="正文文本 Char"/>
    <w:link w:val="8"/>
    <w:qFormat/>
    <w:uiPriority w:val="0"/>
    <w:rPr>
      <w:szCs w:val="24"/>
    </w:rPr>
  </w:style>
  <w:style w:type="character" w:customStyle="1" w:styleId="44">
    <w:name w:val="页脚 Char1"/>
    <w:basedOn w:val="25"/>
    <w:semiHidden/>
    <w:qFormat/>
    <w:uiPriority w:val="99"/>
    <w:rPr>
      <w:sz w:val="18"/>
      <w:szCs w:val="18"/>
    </w:rPr>
  </w:style>
  <w:style w:type="character" w:customStyle="1" w:styleId="45">
    <w:name w:val="页眉 Char1"/>
    <w:basedOn w:val="25"/>
    <w:semiHidden/>
    <w:qFormat/>
    <w:uiPriority w:val="99"/>
    <w:rPr>
      <w:sz w:val="18"/>
      <w:szCs w:val="18"/>
    </w:rPr>
  </w:style>
  <w:style w:type="character" w:customStyle="1" w:styleId="46">
    <w:name w:val="正文文本 Char1"/>
    <w:basedOn w:val="25"/>
    <w:semiHidden/>
    <w:qFormat/>
    <w:uiPriority w:val="99"/>
  </w:style>
  <w:style w:type="character" w:customStyle="1" w:styleId="47">
    <w:name w:val="批注框文本 Char"/>
    <w:basedOn w:val="25"/>
    <w:link w:val="18"/>
    <w:qFormat/>
    <w:uiPriority w:val="0"/>
    <w:rPr>
      <w:sz w:val="18"/>
      <w:szCs w:val="18"/>
    </w:rPr>
  </w:style>
  <w:style w:type="character" w:customStyle="1" w:styleId="48">
    <w:name w:val="HTML 预设格式 Char"/>
    <w:link w:val="20"/>
    <w:qFormat/>
    <w:uiPriority w:val="0"/>
    <w:rPr>
      <w:rFonts w:ascii="Arial" w:hAnsi="Arial" w:cs="Arial"/>
      <w:sz w:val="24"/>
      <w:szCs w:val="24"/>
    </w:rPr>
  </w:style>
  <w:style w:type="character" w:customStyle="1" w:styleId="49">
    <w:name w:val="ca-5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50">
    <w:name w:val="列出段落 Char"/>
    <w:link w:val="51"/>
    <w:qFormat/>
    <w:uiPriority w:val="0"/>
  </w:style>
  <w:style w:type="paragraph" w:customStyle="1" w:styleId="51">
    <w:name w:val="列出段落1"/>
    <w:basedOn w:val="1"/>
    <w:link w:val="50"/>
    <w:qFormat/>
    <w:uiPriority w:val="0"/>
    <w:pPr>
      <w:ind w:firstLine="420" w:firstLineChars="200"/>
    </w:pPr>
  </w:style>
  <w:style w:type="character" w:customStyle="1" w:styleId="52">
    <w:name w:val="ca-11"/>
    <w:qFormat/>
    <w:uiPriority w:val="0"/>
    <w:rPr>
      <w:rFonts w:hint="eastAsia" w:ascii="楷体_GB2312" w:eastAsia="楷体_GB2312"/>
      <w:sz w:val="28"/>
      <w:szCs w:val="28"/>
    </w:rPr>
  </w:style>
  <w:style w:type="character" w:customStyle="1" w:styleId="53">
    <w:name w:val="批注主题 Char"/>
    <w:link w:val="22"/>
    <w:qFormat/>
    <w:uiPriority w:val="99"/>
    <w:rPr>
      <w:rFonts w:ascii="Times New Roman" w:hAnsi="Times New Roman"/>
      <w:b/>
      <w:bCs/>
      <w:szCs w:val="24"/>
    </w:rPr>
  </w:style>
  <w:style w:type="character" w:customStyle="1" w:styleId="54">
    <w:name w:val="批注文字 Char"/>
    <w:basedOn w:val="25"/>
    <w:link w:val="16"/>
    <w:semiHidden/>
    <w:qFormat/>
    <w:uiPriority w:val="99"/>
  </w:style>
  <w:style w:type="character" w:customStyle="1" w:styleId="55">
    <w:name w:val="ca-01"/>
    <w:qFormat/>
    <w:uiPriority w:val="0"/>
    <w:rPr>
      <w:rFonts w:hint="eastAsia" w:ascii="仿宋_GB2312" w:eastAsia="仿宋_GB2312"/>
      <w:sz w:val="28"/>
      <w:szCs w:val="28"/>
    </w:rPr>
  </w:style>
  <w:style w:type="paragraph" w:customStyle="1" w:styleId="56">
    <w:name w:val="_Style 1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57">
    <w:name w:val="批注主题 字符1"/>
    <w:basedOn w:val="54"/>
    <w:semiHidden/>
    <w:qFormat/>
    <w:uiPriority w:val="99"/>
    <w:rPr>
      <w:b/>
      <w:bCs/>
    </w:rPr>
  </w:style>
  <w:style w:type="character" w:customStyle="1" w:styleId="58">
    <w:name w:val="HTML 预设格式 字符2"/>
    <w:basedOn w:val="25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59">
    <w:name w:val="列出段落11"/>
    <w:basedOn w:val="1"/>
    <w:qFormat/>
    <w:uiPriority w:val="0"/>
    <w:pPr>
      <w:ind w:left="50" w:leftChars="50" w:firstLine="420" w:firstLineChars="200"/>
    </w:pPr>
    <w:rPr>
      <w:rFonts w:ascii="Times New Roman" w:hAnsi="Times New Roman" w:eastAsia="宋体" w:cs="Times New Roman"/>
    </w:rPr>
  </w:style>
  <w:style w:type="paragraph" w:customStyle="1" w:styleId="60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pa-0"/>
    <w:basedOn w:val="1"/>
    <w:qFormat/>
    <w:uiPriority w:val="0"/>
    <w:pPr>
      <w:widowControl/>
      <w:spacing w:line="320" w:lineRule="atLeast"/>
      <w:ind w:firstLine="140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6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红色正文"/>
    <w:basedOn w:val="1"/>
    <w:qFormat/>
    <w:uiPriority w:val="0"/>
    <w:pPr>
      <w:spacing w:line="360" w:lineRule="auto"/>
      <w:ind w:firstLine="420"/>
    </w:pPr>
    <w:rPr>
      <w:rFonts w:asciiTheme="minorEastAsia" w:hAnsiTheme="minorEastAsia" w:cstheme="minorEastAsia"/>
    </w:rPr>
  </w:style>
  <w:style w:type="paragraph" w:customStyle="1" w:styleId="70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Arial Narrow" w:hAnsi="Arial Narrow" w:cs="Times New Roman"/>
    </w:rPr>
  </w:style>
  <w:style w:type="table" w:customStyle="1" w:styleId="7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5345-610E-4ED0-9BB8-558FCD7AE3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3103</Words>
  <Characters>3190</Characters>
  <Lines>10</Lines>
  <Paragraphs>2</Paragraphs>
  <TotalTime>2</TotalTime>
  <ScaleCrop>false</ScaleCrop>
  <LinksUpToDate>false</LinksUpToDate>
  <CharactersWithSpaces>3273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2019-08-15T08:20:00Z</dcterms:created>
  <dc:creator>Administrator</dc:creator>
  <cp:lastModifiedBy>slunce</cp:lastModifiedBy>
  <cp:lastPrinted>2019-08-26T00:55:00Z</cp:lastPrinted>
  <dcterms:modified xsi:type="dcterms:W3CDTF">2024-11-23T04:38:32Z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5C37DDA314754FCBB944A741ED692856_13</vt:lpwstr>
  </property>
</Properties>
</file>